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20"/>
        <w:jc w:val="center"/>
      </w:pPr>
      <w:r>
        <w:rPr>
          <w:rFonts w:ascii="Arial" w:cs="Arial" w:eastAsia="Arial" w:hAnsi="Arial"/>
          <w:b/>
          <w:bCs/>
          <w:i w:val="false"/>
          <w:iCs w:val="false"/>
          <w:color w:val="2C4A2E"/>
          <w:sz w:val="56"/>
          <w:szCs w:val="56"/>
        </w:rPr>
        <w:t xml:space="preserve">WICH STUDIO COMPOUND</w:t>
      </w:r>
    </w:p>
    <w:p>
      <w:pPr>
        <w:spacing w:before="0" w:after="120"/>
        <w:jc w:val="center"/>
      </w:pPr>
      <w:r>
        <w:rPr>
          <w:rFonts w:ascii="Arial" w:cs="Arial" w:eastAsia="Arial" w:hAnsi="Arial"/>
          <w:b w:val="false"/>
          <w:bCs w:val="false"/>
          <w:i w:val="false"/>
          <w:iCs w:val="false"/>
          <w:color w:val="4A7C59"/>
          <w:sz w:val="36"/>
          <w:szCs w:val="36"/>
        </w:rPr>
        <w:t xml:space="preserve">Architect Design Brief</w:t>
      </w:r>
    </w:p>
    <w:p>
      <w:pPr>
        <w:spacing w:before="0" w:after="80"/>
        <w:jc w:val="center"/>
      </w:pPr>
      <w:r>
        <w:rPr>
          <w:rFonts w:ascii="Arial" w:cs="Arial" w:eastAsia="Arial" w:hAnsi="Arial"/>
          <w:b w:val="false"/>
          <w:bCs w:val="false"/>
          <w:i w:val="false"/>
          <w:iCs w:val="false"/>
          <w:color w:val="666666"/>
          <w:sz w:val="26"/>
          <w:szCs w:val="26"/>
        </w:rPr>
        <w:t xml:space="preserve">Great Smoky Mountains, Tennessee</w:t>
      </w:r>
    </w:p>
    <w:p>
      <w:pPr>
        <w:spacing w:before="0" w:after="1440"/>
        <w:jc w:val="center"/>
      </w:pPr>
      <w:r>
        <w:rPr>
          <w:rFonts w:ascii="Arial" w:cs="Arial" w:eastAsia="Arial" w:hAnsi="Arial"/>
          <w:b w:val="false"/>
          <w:bCs w:val="false"/>
          <w:i w:val="false"/>
          <w:iCs w:val="false"/>
          <w:color w:val="999999"/>
          <w:sz w:val="22"/>
          <w:szCs w:val="22"/>
        </w:rPr>
        <w:t xml:space="preserve">Version 2.0  |  Confidential</w:t>
      </w:r>
    </w:p>
    <w:p>
      <w:pPr>
        <w:pBdr>
          <w:bottom w:val="single" w:color="2C4A2E" w:sz="12" w:space="1"/>
        </w:pBdr>
        <w:spacing w:before="0" w:after="480"/>
      </w:pPr>
      <w:r>
        <w:rPr>
          <w:rFonts w:ascii="Arial" w:cs="Arial" w:eastAsia="Arial" w:hAnsi="Arial"/>
          <w:b w:val="false"/>
          <w:bCs w:val="false"/>
          <w:i w:val="false"/>
          <w:iCs w:val="false"/>
          <w:color w:val="333333"/>
          <w:sz w:val="22"/>
          <w:szCs w:val="22"/>
        </w:rPr>
        <w:t xml:space="preserve"/>
      </w:r>
    </w:p>
    <w:p>
      <w:pPr>
        <w:spacing w:before="480" w:after="160"/>
        <w:jc w:val="center"/>
      </w:pPr>
      <w:r>
        <w:rPr>
          <w:rFonts w:ascii="Arial" w:cs="Arial" w:eastAsia="Arial" w:hAnsi="Arial"/>
          <w:b/>
          <w:bCs/>
          <w:i w:val="false"/>
          <w:iCs w:val="false"/>
          <w:color w:val="2C4A2E"/>
          <w:sz w:val="28"/>
          <w:szCs w:val="28"/>
        </w:rPr>
        <w:t xml:space="preserve">Mission Statement</w:t>
      </w:r>
    </w:p>
    <w:p>
      <w:pPr>
        <w:spacing w:before="0" w:after="480"/>
        <w:jc w:val="center"/>
      </w:pPr>
      <w:r>
        <w:rPr>
          <w:rFonts w:ascii="Arial" w:cs="Arial" w:eastAsia="Arial" w:hAnsi="Arial"/>
          <w:b w:val="false"/>
          <w:bCs w:val="false"/>
          <w:i/>
          <w:iCs/>
          <w:color w:val="333333"/>
          <w:sz w:val="24"/>
          <w:szCs w:val="24"/>
        </w:rPr>
        <w:t xml:space="preserve">The WICH Studio Compound is a self-sustaining, hardened broadcast and communications campus designed to remain fully operational during regional disasters. It functions as a professional media production facility and off-grid homestead in ordinary times, and a critical community resilience hub in crisis. Built to broadcast when others go silent. Built to shelter when others fall.</w:t>
      </w:r>
    </w:p>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01 — Project Overview</w:t>
      </w:r>
    </w:p>
    <w:p>
      <w:pPr>
        <w:spacing w:before="320" w:after="120"/>
      </w:pPr>
      <w:r>
        <w:rPr>
          <w:rFonts w:ascii="Arial" w:cs="Arial" w:eastAsia="Arial" w:hAnsi="Arial"/>
          <w:b/>
          <w:bCs/>
          <w:i w:val="false"/>
          <w:iCs w:val="false"/>
          <w:color w:val="4A7C59"/>
          <w:sz w:val="26"/>
          <w:szCs w:val="26"/>
        </w:rPr>
        <w:t xml:space="preserve">Primary Purposes</w:t>
      </w:r>
    </w:p>
    <w:p>
      <w:pPr>
        <w:spacing w:before="60" w:after="80"/>
      </w:pPr>
      <w:r>
        <w:rPr>
          <w:rFonts w:ascii="Arial" w:cs="Arial" w:eastAsia="Arial" w:hAnsi="Arial"/>
          <w:b w:val="false"/>
          <w:bCs w:val="false"/>
          <w:i w:val="false"/>
          <w:iCs w:val="false"/>
          <w:color w:val="333333"/>
          <w:sz w:val="22"/>
          <w:szCs w:val="22"/>
        </w:rPr>
        <w:t xml:space="preserve">This compound serves four equally weighted purposes: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Broadcast &amp; Media Production — Professional LPFM community radio, podcast/recording studio, and HAM/emergency communications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Emergency Shelter &amp; Survival — Hardened, NBC-filtered, EMP-protected shelter for up to 20 people for a minimum 90-day sealed operation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Off-Grid Homestead — Zero grid dependency; solar-primary with wind supplement, independent water, and self-contained food/provision storage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Community Resilience Hub — Regional lifeline for the Smoky Mountain community during disasters; broadcast capability to serve the surrounding population</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Occupancy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3560"/>
      </w:tblGrid>
      <w:tr>
        <w:trPr>
          <w:tblHeader/>
        </w:trPr>
        <w:tc>
          <w:tcPr>
            <w:tcW w:type="dxa" w:w="22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Mode</w:t>
            </w:r>
          </w:p>
        </w:tc>
        <w:tc>
          <w:tcPr>
            <w:tcW w:type="dxa" w:w="1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Occupants</w:t>
            </w:r>
          </w:p>
        </w:tc>
        <w:tc>
          <w:tcPr>
            <w:tcW w:type="dxa" w:w="1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Duration</w:t>
            </w:r>
          </w:p>
        </w:tc>
        <w:tc>
          <w:tcPr>
            <w:tcW w:type="dxa" w:w="35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Notes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Full-time residential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3–5 people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Indefinite</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Caretaker + core team</w:t>
            </w:r>
          </w:p>
        </w:tc>
      </w:tr>
      <w:tr>
        <w:tc>
          <w:tcPr>
            <w:tcW w:type="dxa" w:w="2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Extended shelter (sealed)</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10–20 people</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90 days minimum</w:t>
            </w:r>
          </w:p>
        </w:tc>
        <w:tc>
          <w:tcPr>
            <w:tcW w:type="dxa" w:w="3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Full NBC sealed operation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Emergency overflow</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20+ people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Short-term</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Signal Lounge + Bath House bunks</w:t>
            </w:r>
          </w:p>
        </w:tc>
      </w:tr>
    </w:tbl>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Location Criteria</w:t>
      </w:r>
    </w:p>
    <w:p>
      <w:pPr>
        <w:spacing w:before="60" w:after="80"/>
      </w:pPr>
      <w:r>
        <w:rPr>
          <w:rFonts w:ascii="Arial" w:cs="Arial" w:eastAsia="Arial" w:hAnsi="Arial"/>
          <w:b w:val="false"/>
          <w:bCs w:val="false"/>
          <w:i w:val="false"/>
          <w:iCs w:val="false"/>
          <w:color w:val="333333"/>
          <w:sz w:val="22"/>
          <w:szCs w:val="22"/>
        </w:rPr>
        <w:t xml:space="preserve">Site must be located in or near the Great Smoky Mountains region of Tennessee. Required land features: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Natural water source on property — creek, spring, or reliable surface water for rainwater catchment system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Southern solar exposure — clear southern sky access for primary solar array on Solar Utility Annex</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Natural defensibility — elevated position, tree cover, natural sight lines and perimeter definition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Minimum 10–15 acres — sufficient for compound footprint, defensible space, and future food production expansion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Road access — drivable year-round, but remote enough to maintain privacy and security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Well-drillable geology — confirmed by geotech survey before purchase; avoid solid granite at shallow depth</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Below the 100-year floodplain — all structures and tunnels must be above flood risk elevation</w:t>
      </w:r>
    </w:p>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02 — Site Layout &amp; Structures</w:t>
      </w:r>
    </w:p>
    <w:p>
      <w:pPr>
        <w:spacing w:before="320" w:after="120"/>
      </w:pPr>
      <w:r>
        <w:rPr>
          <w:rFonts w:ascii="Arial" w:cs="Arial" w:eastAsia="Arial" w:hAnsi="Arial"/>
          <w:b/>
          <w:bCs/>
          <w:i w:val="false"/>
          <w:iCs w:val="false"/>
          <w:color w:val="4A7C59"/>
          <w:sz w:val="26"/>
          <w:szCs w:val="26"/>
        </w:rPr>
        <w:t xml:space="preserve">Overview</w:t>
      </w:r>
    </w:p>
    <w:p>
      <w:pPr>
        <w:spacing w:before="60" w:after="80"/>
      </w:pPr>
      <w:r>
        <w:rPr>
          <w:rFonts w:ascii="Arial" w:cs="Arial" w:eastAsia="Arial" w:hAnsi="Arial"/>
          <w:b w:val="false"/>
          <w:bCs w:val="false"/>
          <w:i w:val="false"/>
          <w:iCs w:val="false"/>
          <w:color w:val="333333"/>
          <w:sz w:val="22"/>
          <w:szCs w:val="22"/>
        </w:rPr>
        <w:t xml:space="preserve">The compound consists of five structures connected by an underground tunnel network. The Fortress serves as the central hub from which all tunnels radiate. All structures are connected to a compound-wide fiber backbone, shared power distribution, and water network.</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Structure 01 — The Fortress</w:t>
      </w:r>
    </w:p>
    <w:p>
      <w:pPr>
        <w:spacing w:before="60" w:after="80"/>
      </w:pPr>
      <w:r>
        <w:rPr>
          <w:rFonts w:ascii="Arial" w:cs="Arial" w:eastAsia="Arial" w:hAnsi="Arial"/>
          <w:b/>
          <w:bCs/>
          <w:i w:val="false"/>
          <w:iCs w:val="false"/>
          <w:color w:val="333333"/>
          <w:sz w:val="22"/>
          <w:szCs w:val="22"/>
        </w:rPr>
        <w:t xml:space="preserve">Command Tower &amp; Hardened Bunker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Attribute</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Specification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Form</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3-story cylindrical tower, above grade + basement bunker + rooftop access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Outer Walls</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Aircrete with Rockwool mineral wool insulation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Doors</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Ballistic-rated and acoustic-rated throughout</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Bunker footprint</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40 ft × 40 ft (1,600 sq ft), below grade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Bunker ceiling height</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11 ft</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Bunker depth</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Minimum 10 ft below grade; below frost line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Shelter capacity</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6 occupants primary; 10 maximum</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Shelter duration</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90+ days fully sealed</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Provisions storage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90-day supply for 10 occupants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Medical bay</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EMT-level capability</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Escape routes</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Two independent escape tunnels from bunker</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Tower height</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 stories; antenna mast on roof</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EMP hardening</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Full Faraday throughout; EMP-rated workstations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NBC filtration</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Full NBC — nuclear, biological, chemical</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Blast resistance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Engineered blast doors; reinforced concrete shell</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Seismic resistance</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Seismic engineering to current IBC standards for the region</w:t>
            </w:r>
          </w:p>
        </w:tc>
      </w:tr>
    </w:tbl>
    <w:p>
      <w:pPr>
        <w:spacing w:before="0" w:after="80"/>
      </w:pPr>
      <w:r>
        <w:rPr>
          <w:rFonts w:ascii="Arial" w:cs="Arial" w:eastAsia="Arial" w:hAnsi="Arial"/>
          <w:b w:val="false"/>
          <w:bCs w:val="false"/>
          <w:i w:val="false"/>
          <w:iCs w:val="false"/>
          <w:color w:val="333333"/>
          <w:sz w:val="22"/>
          <w:szCs w:val="22"/>
        </w:rPr>
        <w:t xml:space="preserve"/>
      </w:r>
    </w:p>
    <w:p>
      <w:pPr>
        <w:spacing w:before="200" w:after="80"/>
      </w:pPr>
      <w:r>
        <w:rPr>
          <w:rFonts w:ascii="Arial" w:cs="Arial" w:eastAsia="Arial" w:hAnsi="Arial"/>
          <w:b/>
          <w:bCs/>
          <w:i w:val="false"/>
          <w:iCs w:val="false"/>
          <w:color w:val="2C4A2E"/>
          <w:sz w:val="22"/>
          <w:szCs w:val="22"/>
        </w:rPr>
        <w:t xml:space="preserve">Fortress Floor-by-Floor Program</w:t>
      </w:r>
    </w:p>
    <w:p>
      <w:pPr>
        <w:spacing w:before="60" w:after="80"/>
      </w:pPr>
      <w:r>
        <w:rPr>
          <w:rFonts w:ascii="Arial" w:cs="Arial" w:eastAsia="Arial" w:hAnsi="Arial"/>
          <w:b w:val="false"/>
          <w:bCs w:val="false"/>
          <w:i w:val="false"/>
          <w:iCs w:val="false"/>
          <w:color w:val="333333"/>
          <w:sz w:val="22"/>
          <w:szCs w:val="22"/>
        </w:rPr>
        <w:t xml:space="preserve">The Fortress is organized across four distinct levels, each serving a dedicated purpose:</w:t>
      </w:r>
    </w:p>
    <w:p>
      <w:pPr>
        <w:spacing w:before="0" w:after="40"/>
      </w:pPr>
      <w:r>
        <w:rPr>
          <w:rFonts w:ascii="Arial" w:cs="Arial" w:eastAsia="Arial" w:hAnsi="Arial"/>
          <w:b w:val="false"/>
          <w:bCs w:val="false"/>
          <w:i w:val="false"/>
          <w:iCs w:val="false"/>
          <w:color w:val="333333"/>
          <w:sz w:val="22"/>
          <w:szCs w:val="22"/>
        </w:rPr>
        <w:t xml:space="preserve"/>
      </w:r>
    </w:p>
    <w:p>
      <w:pPr>
        <w:spacing w:before="60" w:after="80"/>
      </w:pPr>
      <w:r>
        <w:rPr>
          <w:rFonts w:ascii="Arial" w:cs="Arial" w:eastAsia="Arial" w:hAnsi="Arial"/>
          <w:b/>
          <w:bCs/>
          <w:i w:val="false"/>
          <w:iCs w:val="false"/>
          <w:color w:val="333333"/>
          <w:sz w:val="22"/>
          <w:szCs w:val="22"/>
        </w:rPr>
        <w:t xml:space="preserve">Level B1 — The Bunker (Primary NBC Shelter &amp; Operations)</w:t>
      </w:r>
    </w:p>
    <w:p>
      <w:pPr>
        <w:spacing w:before="60" w:after="80"/>
      </w:pPr>
      <w:r>
        <w:rPr>
          <w:rFonts w:ascii="Arial" w:cs="Arial" w:eastAsia="Arial" w:hAnsi="Arial"/>
          <w:b w:val="false"/>
          <w:bCs w:val="false"/>
          <w:i w:val="false"/>
          <w:iCs w:val="false"/>
          <w:color w:val="333333"/>
          <w:sz w:val="22"/>
          <w:szCs w:val="22"/>
        </w:rPr>
        <w:t xml:space="preserve">The hardened core of the Fortress. A 1,600 sq ft reinforced basement with 11 ft ceiling height designed for extended occupancy, operational continuity, and full NBC protection. Six dedicated rooms: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Maintenance &amp; Storage — well head, water manifold, NBC filtration, battery banks, workshop, EMP-hardened systems, fuel vault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Common Room — hydroponic garden (supplemental food production), redundant comms terminal, entertainment area with Murphy table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Bunk Room — sleeps 6 in 3-tier bunks; lockers; dehumidifier and humidistat control</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Medical Bay — cot, oxygen supply, AED, IV capability, stop-the-bleed kit, medication refrigeration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Archive / Data Vault — EMP-safe, fireproof storage; critical digital and physical records; secure drive racks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Full Bathroom — shower, sink, incinerating toilet, greywater recycling tie-in</w:t>
      </w:r>
    </w:p>
    <w:p>
      <w:pPr>
        <w:spacing w:before="0" w:after="40"/>
      </w:pPr>
      <w:r>
        <w:rPr>
          <w:rFonts w:ascii="Arial" w:cs="Arial" w:eastAsia="Arial" w:hAnsi="Arial"/>
          <w:b w:val="false"/>
          <w:bCs w:val="false"/>
          <w:i w:val="false"/>
          <w:iCs w:val="false"/>
          <w:color w:val="333333"/>
          <w:sz w:val="22"/>
          <w:szCs w:val="22"/>
        </w:rPr>
        <w:t xml:space="preserve"/>
      </w:r>
    </w:p>
    <w:p>
      <w:pPr>
        <w:spacing w:before="60" w:after="80"/>
      </w:pPr>
      <w:r>
        <w:rPr>
          <w:rFonts w:ascii="Arial" w:cs="Arial" w:eastAsia="Arial" w:hAnsi="Arial"/>
          <w:b/>
          <w:bCs/>
          <w:i w:val="false"/>
          <w:iCs w:val="false"/>
          <w:color w:val="333333"/>
          <w:sz w:val="22"/>
          <w:szCs w:val="22"/>
        </w:rPr>
        <w:t xml:space="preserve">Level 1 — The Brain Room (Command &amp; Monitoring)</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Operational nerve center — all compound systems converge here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Control dashboards: power routing, HVAC, water, security cameras — all zones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Communications cabinet and server racks — redundant, non-primary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EMP-rated workstations and network control</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Fiber optic entry point — compound backbone connects here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EMP-safe media and data vault; hardened server racks on vibration mounts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Access to exterior spiral staircase hallway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All compound systems remotely accessible from The Station</w:t>
      </w:r>
    </w:p>
    <w:p>
      <w:pPr>
        <w:spacing w:before="0" w:after="40"/>
      </w:pPr>
      <w:r>
        <w:rPr>
          <w:rFonts w:ascii="Arial" w:cs="Arial" w:eastAsia="Arial" w:hAnsi="Arial"/>
          <w:b w:val="false"/>
          <w:bCs w:val="false"/>
          <w:i w:val="false"/>
          <w:iCs w:val="false"/>
          <w:color w:val="333333"/>
          <w:sz w:val="22"/>
          <w:szCs w:val="22"/>
        </w:rPr>
        <w:t xml:space="preserve"/>
      </w:r>
    </w:p>
    <w:p>
      <w:pPr>
        <w:spacing w:before="60" w:after="80"/>
      </w:pPr>
      <w:r>
        <w:rPr>
          <w:rFonts w:ascii="Arial" w:cs="Arial" w:eastAsia="Arial" w:hAnsi="Arial"/>
          <w:b/>
          <w:bCs/>
          <w:i w:val="false"/>
          <w:iCs w:val="false"/>
          <w:color w:val="333333"/>
          <w:sz w:val="22"/>
          <w:szCs w:val="22"/>
        </w:rPr>
        <w:t xml:space="preserve">Level 2 — The Office (Administrative &amp; Operations)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Workstations and meeting table for planning and coordination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Document safes and secure filing — physical + digital encryption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Small kitchenette for staff use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Communication and control access limited to monitoring and emergencies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Encrypted local network access — air-gapped option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Visual access to stairway hallway windows for situational awareness</w:t>
      </w:r>
    </w:p>
    <w:p>
      <w:pPr>
        <w:spacing w:before="0" w:after="40"/>
      </w:pPr>
      <w:r>
        <w:rPr>
          <w:rFonts w:ascii="Arial" w:cs="Arial" w:eastAsia="Arial" w:hAnsi="Arial"/>
          <w:b w:val="false"/>
          <w:bCs w:val="false"/>
          <w:i w:val="false"/>
          <w:iCs w:val="false"/>
          <w:color w:val="333333"/>
          <w:sz w:val="22"/>
          <w:szCs w:val="22"/>
        </w:rPr>
        <w:t xml:space="preserve"/>
      </w:r>
    </w:p>
    <w:p>
      <w:pPr>
        <w:spacing w:before="60" w:after="80"/>
      </w:pPr>
      <w:r>
        <w:rPr>
          <w:rFonts w:ascii="Arial" w:cs="Arial" w:eastAsia="Arial" w:hAnsi="Arial"/>
          <w:b/>
          <w:bCs/>
          <w:i w:val="false"/>
          <w:iCs w:val="false"/>
          <w:color w:val="333333"/>
          <w:sz w:val="22"/>
          <w:szCs w:val="22"/>
        </w:rPr>
        <w:t xml:space="preserve">Level 3 — The Penthouse (VIP Retreat / Inspiration Room)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Panoramic glass wall — UV-filtering panels across rear wall; full compound and mountain sight lines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Soft lighting, meditation alcove, and reading / library space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Wood stove for supplemental heating and ambiance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Radiant heated floating floor — zoned control</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Hidden Murphy bed or futon — for VIP guests and dignitaries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Full bathroom with soaking tub and shower overlooking the mountains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Small kitchenette and coffee prep area</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One controlled entry only — from spiral staircase hallway; no through-traffic</w:t>
      </w:r>
    </w:p>
    <w:p>
      <w:pPr>
        <w:spacing w:before="0" w:after="40"/>
      </w:pPr>
      <w:r>
        <w:rPr>
          <w:rFonts w:ascii="Arial" w:cs="Arial" w:eastAsia="Arial" w:hAnsi="Arial"/>
          <w:b w:val="false"/>
          <w:bCs w:val="false"/>
          <w:i w:val="false"/>
          <w:iCs w:val="false"/>
          <w:color w:val="333333"/>
          <w:sz w:val="22"/>
          <w:szCs w:val="22"/>
        </w:rPr>
        <w:t xml:space="preserve"/>
      </w:r>
    </w:p>
    <w:p>
      <w:pPr>
        <w:spacing w:before="60" w:after="80"/>
      </w:pPr>
      <w:r>
        <w:rPr>
          <w:rFonts w:ascii="Arial" w:cs="Arial" w:eastAsia="Arial" w:hAnsi="Arial"/>
          <w:b/>
          <w:bCs/>
          <w:i w:val="false"/>
          <w:iCs w:val="false"/>
          <w:color w:val="333333"/>
          <w:sz w:val="22"/>
          <w:szCs w:val="22"/>
        </w:rPr>
        <w:t xml:space="preserve">Roof</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Main antenna mast — radio and satellite communications; backup broadcast link to The Station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Solar panels with redundancy — tied to SUA battery system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Full lightning protection system with whole-building surge protection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Roof hatch with controlled access — separate from spiral staircase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Optional wind turbine mounts — structural provision</w:t>
      </w:r>
    </w:p>
    <w:p>
      <w:pPr>
        <w:spacing w:before="0" w:after="40"/>
      </w:pPr>
      <w:r>
        <w:rPr>
          <w:rFonts w:ascii="Arial" w:cs="Arial" w:eastAsia="Arial" w:hAnsi="Arial"/>
          <w:b w:val="false"/>
          <w:bCs w:val="false"/>
          <w:i w:val="false"/>
          <w:iCs w:val="false"/>
          <w:color w:val="333333"/>
          <w:sz w:val="22"/>
          <w:szCs w:val="22"/>
        </w:rPr>
        <w:t xml:space="preserve"/>
      </w:r>
    </w:p>
    <w:p>
      <w:pPr>
        <w:spacing w:before="60" w:after="80"/>
      </w:pPr>
      <w:r>
        <w:rPr>
          <w:rFonts w:ascii="Arial" w:cs="Arial" w:eastAsia="Arial" w:hAnsi="Arial"/>
          <w:b/>
          <w:bCs/>
          <w:i w:val="false"/>
          <w:iCs w:val="false"/>
          <w:color w:val="333333"/>
          <w:sz w:val="22"/>
          <w:szCs w:val="22"/>
        </w:rPr>
        <w:t xml:space="preserve">Spiral Staircase Hallway (External Vertical Circulation)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Fully enclosed, covered, cantilevered stairwell wrapping the Fortress perimeter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Rockwool insulation — full thermal and acoustic separation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Limited windows for privacy; weather-protected year-round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Controlled door access to each floor; separate roof hatch at top</w:t>
      </w:r>
    </w:p>
    <w:p>
      <w:pPr>
        <w:spacing w:before="0" w:after="80"/>
      </w:pPr>
      <w:r>
        <w:rPr>
          <w:rFonts w:ascii="Arial" w:cs="Arial" w:eastAsia="Arial" w:hAnsi="Arial"/>
          <w:b w:val="false"/>
          <w:bCs w:val="false"/>
          <w:i w:val="false"/>
          <w:iCs w:val="false"/>
          <w:color w:val="333333"/>
          <w:sz w:val="22"/>
          <w:szCs w:val="22"/>
        </w:rPr>
        <w:t xml:space="preserve"/>
      </w:r>
    </w:p>
    <w:p>
      <w:pPr>
        <w:spacing w:before="200" w:after="80"/>
      </w:pPr>
      <w:r>
        <w:rPr>
          <w:rFonts w:ascii="Arial" w:cs="Arial" w:eastAsia="Arial" w:hAnsi="Arial"/>
          <w:b/>
          <w:bCs/>
          <w:i w:val="false"/>
          <w:iCs w:val="false"/>
          <w:color w:val="2C4A2E"/>
          <w:sz w:val="22"/>
          <w:szCs w:val="22"/>
        </w:rPr>
        <w:t xml:space="preserve">Fortress Water Systems</w:t>
      </w:r>
    </w:p>
    <w:p>
      <w:pPr>
        <w:spacing w:before="60" w:after="80"/>
      </w:pPr>
      <w:r>
        <w:rPr>
          <w:rFonts w:ascii="Arial" w:cs="Arial" w:eastAsia="Arial" w:hAnsi="Arial"/>
          <w:b w:val="false"/>
          <w:bCs w:val="false"/>
          <w:i w:val="false"/>
          <w:iCs w:val="false"/>
          <w:color w:val="333333"/>
          <w:sz w:val="22"/>
          <w:szCs w:val="22"/>
        </w:rPr>
        <w:t xml:space="preserve">Dual-source supply — well and rainwater catchment — with three-stage filtration and closed-loop wastewater: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Stage</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Method / Purpose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Sediment pre-filter — particulate removal</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2</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UV sterilization — biological pathogen kill</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Whole-house NBC filtration — chemical / biological / nuclear contamination</w:t>
            </w:r>
          </w:p>
        </w:tc>
      </w:tr>
    </w:tbl>
    <w:p>
      <w:pPr>
        <w:spacing w:before="0" w:after="80"/>
      </w:pPr>
      <w:r>
        <w:rPr>
          <w:rFonts w:ascii="Arial" w:cs="Arial" w:eastAsia="Arial" w:hAnsi="Arial"/>
          <w:b w:val="false"/>
          <w:bCs w:val="false"/>
          <w:i w:val="false"/>
          <w:iCs w:val="false"/>
          <w:color w:val="333333"/>
          <w:sz w:val="22"/>
          <w:szCs w:val="22"/>
        </w:rPr>
        <w:t xml:space="preserve"/>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Underground cistern — primary bulk storage, below frost line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Bunker tank — secondary in-building reserve (Maintenance Room)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Water storage: 1,000–2,500 gallons treated across two storage points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Gravity-fed distribution possible if pump power is lost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Greywater recycling — sink and shower water reused for irrigation and toilet fill</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Incinerating toilet — blackwater eliminated without water or sewer connection</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Structure 02 — The Station</w:t>
      </w:r>
    </w:p>
    <w:p>
      <w:pPr>
        <w:spacing w:before="60" w:after="80"/>
      </w:pPr>
      <w:r>
        <w:rPr>
          <w:rFonts w:ascii="Arial" w:cs="Arial" w:eastAsia="Arial" w:hAnsi="Arial"/>
          <w:b/>
          <w:bCs/>
          <w:i w:val="false"/>
          <w:iCs w:val="false"/>
          <w:color w:val="333333"/>
          <w:sz w:val="22"/>
          <w:szCs w:val="22"/>
        </w:rPr>
        <w:t xml:space="preserve">Geodesic Broadcast Dome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Attribute</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Specification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Form</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Geodesic dome with reinforced basement and hardened tunnel connections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Dome diameter</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36–40 ft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Peak height</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20–24 ft</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Basement height</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10–11 ft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Frame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Steel or Laminated Timber</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Foundation</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Reinforced concrete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Insulation</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Rockwool mineral wool throughout</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Interior walls</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Double-stud acoustic construction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Primary function</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LPFM community radio broadcast + recording studio</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Studio acoustic target</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NC-25; STC 60+ isolation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Exterior shell</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OITC 35+</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EMP hardening</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Copper mesh Faraday layer integrated into dome structure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Basement</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Signal Lounge — secondary NBC shelter, 3–7 day sealed</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Shelter capacity</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6–8 occupants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Water reserve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250–500 gallons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NBC filtration</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Full NBC — independent of Fortress system</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Blast resistance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Blast doors on tunnel connections; reinforced basement</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Tunnel connections</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Tunnel A (to Fortress Bunker), Tunnel C (to Bath House)</w:t>
            </w:r>
          </w:p>
        </w:tc>
      </w:tr>
    </w:tbl>
    <w:p>
      <w:pPr>
        <w:spacing w:before="0" w:after="80"/>
      </w:pPr>
      <w:r>
        <w:rPr>
          <w:rFonts w:ascii="Arial" w:cs="Arial" w:eastAsia="Arial" w:hAnsi="Arial"/>
          <w:b w:val="false"/>
          <w:bCs w:val="false"/>
          <w:i w:val="false"/>
          <w:iCs w:val="false"/>
          <w:color w:val="333333"/>
          <w:sz w:val="22"/>
          <w:szCs w:val="22"/>
        </w:rPr>
        <w:t xml:space="preserve"/>
      </w:r>
    </w:p>
    <w:p>
      <w:pPr>
        <w:spacing w:before="200" w:after="80"/>
      </w:pPr>
      <w:r>
        <w:rPr>
          <w:rFonts w:ascii="Arial" w:cs="Arial" w:eastAsia="Arial" w:hAnsi="Arial"/>
          <w:b/>
          <w:bCs/>
          <w:i w:val="false"/>
          <w:iCs w:val="false"/>
          <w:color w:val="2C4A2E"/>
          <w:sz w:val="22"/>
          <w:szCs w:val="22"/>
        </w:rPr>
        <w:t xml:space="preserve">Station Main Floor — Zone Layout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Zone</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Program</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Zone A — Broadcast Console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LPFM mixing console, microphone arrays, podcast table, interview seating, audio interface, phone call integration, vibration-isolated racks, sound-lock vestibule entry</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Zone B — Recording Area</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Music performance, podcast, voice, vocals — acoustic panels, bass traps, instrument I/O, camera mounts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Zone C — Comms Control Desk</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HAM, GMRS, Meshtastic gateway, satellite, SDR spectrum monitor</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Zone D — Equipment Rack Wall</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Audio routing, patch panels, quiet network switches (studio-facing only)</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Zone E — RF / Server Room</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55; independent cooling; grounded racks; fiber; UPS; storage servers; firewall and router</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Zone F — Recording Booth</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Voice, vocals, podcast, ASMR — maximum isolation; quiet ventilation; mic and headphone connections</w:t>
            </w:r>
          </w:p>
        </w:tc>
      </w:tr>
    </w:tbl>
    <w:p>
      <w:pPr>
        <w:spacing w:before="0" w:after="80"/>
      </w:pPr>
      <w:r>
        <w:rPr>
          <w:rFonts w:ascii="Arial" w:cs="Arial" w:eastAsia="Arial" w:hAnsi="Arial"/>
          <w:b w:val="false"/>
          <w:bCs w:val="false"/>
          <w:i w:val="false"/>
          <w:iCs w:val="false"/>
          <w:color w:val="333333"/>
          <w:sz w:val="22"/>
          <w:szCs w:val="22"/>
        </w:rPr>
        <w:t xml:space="preserve"/>
      </w:r>
    </w:p>
    <w:p>
      <w:pPr>
        <w:spacing w:before="200" w:after="80"/>
      </w:pPr>
      <w:r>
        <w:rPr>
          <w:rFonts w:ascii="Arial" w:cs="Arial" w:eastAsia="Arial" w:hAnsi="Arial"/>
          <w:b/>
          <w:bCs/>
          <w:i w:val="false"/>
          <w:iCs w:val="false"/>
          <w:color w:val="2C4A2E"/>
          <w:sz w:val="22"/>
          <w:szCs w:val="22"/>
        </w:rPr>
        <w:t xml:space="preserve">Signal Lounge — Basement Shelter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Secondary NBC shelter — 3–7 day sealed operation; 6–8 occupants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Green room / lounge — seating, entertainment, Murphy beds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Emergency bunks and provisions (7-day)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Independent power and comms tie-in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NBC filtration — fully independent of Fortress system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Tunnel A connection to Fortress Bunker — protected movement and fiber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Tunnel C connection to Bath House Basement — full triangle network</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Structure 03 — Solar Utility Annex (SUA)</w:t>
      </w:r>
    </w:p>
    <w:p>
      <w:pPr>
        <w:spacing w:before="60" w:after="80"/>
      </w:pPr>
      <w:r>
        <w:rPr>
          <w:rFonts w:ascii="Arial" w:cs="Arial" w:eastAsia="Arial" w:hAnsi="Arial"/>
          <w:b/>
          <w:bCs/>
          <w:i w:val="false"/>
          <w:iCs w:val="false"/>
          <w:color w:val="333333"/>
          <w:sz w:val="22"/>
          <w:szCs w:val="22"/>
        </w:rPr>
        <w:t xml:space="preserve">Primary Power Hub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Attribute</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Specification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Attachment</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Physically attached to the Fortress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Primary generation</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Solar array — roof and ground mount; oriented for maximum Smoky Mountain solar capture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Storage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Main battery banks — compound-wide primary storage; sized for extended overnight and multi-day reserve</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Generator backup</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Multi-fuel generator with Automatic Transfer Switch (ATS) — seamless cutover</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Wind supplement</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Wind turbine — fills solar gaps during overcast conditions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Grid dependency</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Zero — fully grid independent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Distribution</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Powers all compound structures via buried conduit from SUA</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UPS</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Uninterruptible power supply on all critical electronics — no gap in power during switching</w:t>
            </w:r>
          </w:p>
        </w:tc>
      </w:tr>
    </w:tbl>
    <w:p>
      <w:pPr>
        <w:spacing w:before="0" w:after="80"/>
      </w:pPr>
      <w:r>
        <w:rPr>
          <w:rFonts w:ascii="Arial" w:cs="Arial" w:eastAsia="Arial" w:hAnsi="Arial"/>
          <w:b w:val="false"/>
          <w:bCs w:val="false"/>
          <w:i w:val="false"/>
          <w:iCs w:val="false"/>
          <w:color w:val="333333"/>
          <w:sz w:val="22"/>
          <w:szCs w:val="22"/>
        </w:rPr>
        <w:t xml:space="preserve"/>
      </w:r>
    </w:p>
    <w:p>
      <w:pPr>
        <w:spacing w:before="200" w:after="80"/>
      </w:pPr>
      <w:r>
        <w:rPr>
          <w:rFonts w:ascii="Arial" w:cs="Arial" w:eastAsia="Arial" w:hAnsi="Arial"/>
          <w:b/>
          <w:bCs/>
          <w:i w:val="false"/>
          <w:iCs w:val="false"/>
          <w:color w:val="2C4A2E"/>
          <w:sz w:val="22"/>
          <w:szCs w:val="22"/>
        </w:rPr>
        <w:t xml:space="preserve">SUA Power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Source</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Role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Solar (roof + ground array)</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Primary — compound generates first, stores surplus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Battery bank (SUA)</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Compound-wide primary storage — overnight and multi-day reserve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Battery bank (The Station)</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Secondary — independent broadcast reserve for seamless continuity</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UPS (all buildings)</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Tertiary — switchover bridge on all critical electronics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Wind turbine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Supplement — cloudy weather generation to fill solar gaps</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Multi-fuel generator + ATS</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Emergency fallback — auto-starts; no human intervention required</w:t>
            </w:r>
          </w:p>
        </w:tc>
      </w:tr>
    </w:tbl>
    <w:p>
      <w:pPr>
        <w:spacing w:before="0" w:after="80"/>
      </w:pPr>
      <w:r>
        <w:rPr>
          <w:rFonts w:ascii="Arial" w:cs="Arial" w:eastAsia="Arial" w:hAnsi="Arial"/>
          <w:b w:val="false"/>
          <w:bCs w:val="false"/>
          <w:i w:val="false"/>
          <w:iCs w:val="false"/>
          <w:color w:val="333333"/>
          <w:sz w:val="22"/>
          <w:szCs w:val="22"/>
        </w:rPr>
        <w:t xml:space="preserve"/>
      </w:r>
    </w:p>
    <w:p>
      <w:pPr>
        <w:spacing w:before="200" w:after="80"/>
      </w:pPr>
      <w:r>
        <w:rPr>
          <w:rFonts w:ascii="Arial" w:cs="Arial" w:eastAsia="Arial" w:hAnsi="Arial"/>
          <w:b/>
          <w:bCs/>
          <w:i w:val="false"/>
          <w:iCs w:val="false"/>
          <w:color w:val="2C4A2E"/>
          <w:sz w:val="22"/>
          <w:szCs w:val="22"/>
        </w:rPr>
        <w:t xml:space="preserve">SUA Interior Program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Solar inverter systems and charge controllers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Main battery bank room — climate controlled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Generator room — ventilated, fire-rated; ATS panel; remote start from Brain Room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Electrical distribution panels — all compound circuits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Electronics workshop and test bench — component-level repair, soldering, test equipment, cable fabrication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Spare parts inventory and Faraday bag storage for critical components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Fuel storage — fireproof vault; underground tank option for long-term reserve; FIFO rotation protocol</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Structure 04 — Bath House</w:t>
      </w:r>
    </w:p>
    <w:p>
      <w:pPr>
        <w:spacing w:before="60" w:after="80"/>
      </w:pPr>
      <w:r>
        <w:rPr>
          <w:rFonts w:ascii="Arial" w:cs="Arial" w:eastAsia="Arial" w:hAnsi="Arial"/>
          <w:b/>
          <w:bCs/>
          <w:i w:val="false"/>
          <w:iCs w:val="false"/>
          <w:color w:val="333333"/>
          <w:sz w:val="22"/>
          <w:szCs w:val="22"/>
        </w:rPr>
        <w:t xml:space="preserve">Sanitation, Wellness &amp; Decontamination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Level</w:t>
            </w:r>
          </w:p>
        </w:tc>
        <w:tc>
          <w:tcPr>
            <w:tcW w:type="dxa" w:w="30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Program</w:t>
            </w:r>
          </w:p>
        </w:tc>
        <w:tc>
          <w:tcPr>
            <w:tcW w:type="dxa" w:w="41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Emergency Role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Basement (B1)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Mechanical systems (dual solar thermal tanks ~1,000L each + backup boiler), greywater processing, NBC-compatible ventilation, seed bank, emergency rations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Emergency shelter nook: 2 Murphy bunks + fold-out couch, compact kitchenette, full bath</w:t>
            </w:r>
          </w:p>
        </w:tc>
      </w:tr>
      <w:tr>
        <w:tc>
          <w:tcPr>
            <w:tcW w:type="dxa" w:w="2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Level 1 (Ground)</w:t>
            </w:r>
          </w:p>
        </w:tc>
        <w:tc>
          <w:tcPr>
            <w:tcW w:type="dxa" w:w="30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Decon entry (misting showers, sealed entry, hazmat station), locker room, 4 private shower stalls, hot soaking tub, 2 toilets, laundry (2W / 2D)</w:t>
            </w:r>
          </w:p>
        </w:tc>
        <w:tc>
          <w:tcPr>
            <w:tcW w:type="dxa" w:w="41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NBC decontamination entry — intercepts contaminated personnel before upper floors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Level 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Cedar dry sauna (seats 2), cold plunge (chilled, circulating), double steam shower (full steam for two), meditation room, small lounge / tea bar, private guest suite (futon, half bath), full bath with freestanding soaking tub</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Not designated emergency shelter — wellness and guest use</w:t>
            </w:r>
          </w:p>
        </w:tc>
      </w:tr>
    </w:tbl>
    <w:p>
      <w:pPr>
        <w:spacing w:before="0" w:after="80"/>
      </w:pPr>
      <w:r>
        <w:rPr>
          <w:rFonts w:ascii="Arial" w:cs="Arial" w:eastAsia="Arial" w:hAnsi="Arial"/>
          <w:b w:val="false"/>
          <w:bCs w:val="false"/>
          <w:i w:val="false"/>
          <w:iCs w:val="false"/>
          <w:color w:val="333333"/>
          <w:sz w:val="22"/>
          <w:szCs w:val="22"/>
        </w:rPr>
        <w:t xml:space="preserve"/>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Tunnel connections: Tunnel B (to Fortress), Tunnel C (to Station)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Basement blast door on tunnel entries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Decontamination protocol: misting shower decon at ground-level entry before accessing clean zones — critical NBC sequencing</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Guest suite on Level 2 — futon, half bath, porch access, natural light and mountain views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Wraparound porch — cantilever design, fire-resistant decking, panoramic mountain views from all Floor 2 spaces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Solar thermal hot water — dual ~1,000L tanks in basement; wood/biogas backup boiler</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Structure 05 — Ember Nest</w:t>
      </w:r>
    </w:p>
    <w:p>
      <w:pPr>
        <w:spacing w:before="60" w:after="80"/>
      </w:pPr>
      <w:r>
        <w:rPr>
          <w:rFonts w:ascii="Arial" w:cs="Arial" w:eastAsia="Arial" w:hAnsi="Arial"/>
          <w:b/>
          <w:bCs/>
          <w:i w:val="false"/>
          <w:iCs w:val="false"/>
          <w:color w:val="333333"/>
          <w:sz w:val="22"/>
          <w:szCs w:val="22"/>
        </w:rPr>
        <w:t xml:space="preserve">Caretaker Residence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Attribute</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Specification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Form</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Compact off-grid cabin — main level + loft sleeping area</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Occupancy</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1–2 full-time caretaker(s)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Main level</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Open living area, full kitchen (induction cooktop, refrigerator, compact freezer), dining area, full bathroom, work desk for compound monitoring, built-in storage throughout</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Loft sleeping</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Full sleeping platform, separated from main level for privacy and quiet; built-in storage; natural light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Power</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Connected to compound SUA; off-grid capable independently</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Water</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Connected to compound water network from Fortress well manifold</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Network</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Fiber connection to compound LAN; Meshtastic mesh node</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Design</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Energy-efficient appliances; low power profile; year-round habitability</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Off-grid fallback</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Manual overrides on all critical systems; minimal power draw sustainable on reduced supply</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Purpose</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On-site caretaker presence for compound security, maintenance, and first response</w:t>
            </w:r>
          </w:p>
        </w:tc>
      </w:tr>
    </w:tbl>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03 — Underground Tunnel Network</w:t>
      </w:r>
    </w:p>
    <w:p>
      <w:pPr>
        <w:spacing w:before="320" w:after="120"/>
      </w:pPr>
      <w:r>
        <w:rPr>
          <w:rFonts w:ascii="Arial" w:cs="Arial" w:eastAsia="Arial" w:hAnsi="Arial"/>
          <w:b/>
          <w:bCs/>
          <w:i w:val="false"/>
          <w:iCs w:val="false"/>
          <w:color w:val="4A7C59"/>
          <w:sz w:val="26"/>
          <w:szCs w:val="26"/>
        </w:rPr>
        <w:t xml:space="preserve">Overview</w:t>
      </w:r>
    </w:p>
    <w:p>
      <w:pPr>
        <w:spacing w:before="60" w:after="80"/>
      </w:pPr>
      <w:r>
        <w:rPr>
          <w:rFonts w:ascii="Arial" w:cs="Arial" w:eastAsia="Arial" w:hAnsi="Arial"/>
          <w:b w:val="false"/>
          <w:bCs w:val="false"/>
          <w:i w:val="false"/>
          <w:iCs w:val="false"/>
          <w:color w:val="333333"/>
          <w:sz w:val="22"/>
          <w:szCs w:val="22"/>
        </w:rPr>
        <w:t xml:space="preserve">Three reinforced concrete tunnels connect the three primary structures, enabling protected above-ground movement across the entire compound during NBC events. All tunnels carry fiber, power, and utility conduit. Tunnel construction must account for the rocky and sloped terrain typical of the Great Smoky Mountains — a full geotech survey is required before tunnel alignment is finalized.</w:t>
      </w:r>
    </w:p>
    <w:p>
      <w:pPr>
        <w:spacing w:before="0" w:after="80"/>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3560"/>
      </w:tblGrid>
      <w:tr>
        <w:trPr>
          <w:tblHeader/>
        </w:trPr>
        <w:tc>
          <w:tcPr>
            <w:tcW w:type="dxa" w:w="22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Tunnel</w:t>
            </w:r>
          </w:p>
        </w:tc>
        <w:tc>
          <w:tcPr>
            <w:tcW w:type="dxa" w:w="1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Route</w:t>
            </w:r>
          </w:p>
        </w:tc>
        <w:tc>
          <w:tcPr>
            <w:tcW w:type="dxa" w:w="1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Length (est.)</w:t>
            </w:r>
          </w:p>
        </w:tc>
        <w:tc>
          <w:tcPr>
            <w:tcW w:type="dxa" w:w="35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Key Features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Tunnel 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Bunker → Signal Lounge (Station)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100–200 ft</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Blast doors both ends; fiber + power conduit; emergency comms line; fiber optic full length</w:t>
            </w:r>
          </w:p>
        </w:tc>
      </w:tr>
      <w:tr>
        <w:tc>
          <w:tcPr>
            <w:tcW w:type="dxa" w:w="2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Tunnel B</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Bunker → Bath House Basement</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100–200 ft</w:t>
            </w:r>
          </w:p>
        </w:tc>
        <w:tc>
          <w:tcPr>
            <w:tcW w:type="dxa" w:w="3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Blast doors both ends; fiber + power conduit; emergency comms line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Tunnel 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Signal Lounge (Station) → Bath House Basement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100–200 ft</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Blast doors both ends; fiber + power conduit; emergency comms line</w:t>
            </w:r>
          </w:p>
        </w:tc>
      </w:tr>
    </w:tbl>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Tunnel Construction Requirements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Depth: Below frost line throughout; minimum 6 ft clearance inside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Structure: Reinforced concrete — minimum 8-inch walls; waterproofed exterior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Blast doors: Two per tunnel (one at each end) — rated blast doors with manual override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Conduit: Dedicated cable trays for fiber, power, and utility runs — full length of each tunnel</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Drainage: Sump systems at low points; waterproof membrane on exterior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Lighting: Emergency LED lighting on independent circuit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Ventilation: Passive ventilation; NBC override dampers at each end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Escape tunnels: Two independent escape routes from Fortress Bunker — separate from main tunnels</w:t>
      </w:r>
    </w:p>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04 — Hardening &amp; Threat Mitigation</w:t>
      </w:r>
    </w:p>
    <w:p>
      <w:pPr>
        <w:spacing w:before="320" w:after="120"/>
      </w:pPr>
      <w:r>
        <w:rPr>
          <w:rFonts w:ascii="Arial" w:cs="Arial" w:eastAsia="Arial" w:hAnsi="Arial"/>
          <w:b/>
          <w:bCs/>
          <w:i w:val="false"/>
          <w:iCs w:val="false"/>
          <w:color w:val="4A7C59"/>
          <w:sz w:val="26"/>
          <w:szCs w:val="26"/>
        </w:rPr>
        <w:t xml:space="preserve">Threat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4160"/>
        <w:gridCol w:w="3100"/>
      </w:tblGrid>
      <w:tr>
        <w:trPr>
          <w:tblHeader/>
        </w:trPr>
        <w:tc>
          <w:tcPr>
            <w:tcW w:type="dxa" w:w="21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Threat</w:t>
            </w:r>
          </w:p>
        </w:tc>
        <w:tc>
          <w:tcPr>
            <w:tcW w:type="dxa" w:w="41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Required Mitigation</w:t>
            </w:r>
          </w:p>
        </w:tc>
        <w:tc>
          <w:tcPr>
            <w:tcW w:type="dxa" w:w="31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Structures Affected</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Nuclear / Radiological</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NBC filtration, blast doors, below-grade bunker, radiation shielding</w:t>
            </w:r>
          </w:p>
        </w:tc>
        <w:tc>
          <w:tcPr>
            <w:tcW w:type="dxa" w:w="3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Bunker, Signal Lounge, Bath House B1</w:t>
            </w:r>
          </w:p>
        </w:tc>
      </w:tr>
      <w:tr>
        <w:tc>
          <w:tcPr>
            <w:tcW w:type="dxa" w:w="2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Biological / Chemical</w:t>
            </w:r>
          </w:p>
        </w:tc>
        <w:tc>
          <w:tcPr>
            <w:tcW w:type="dxa" w:w="41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NBC filtration (HEPA + activated carbon), positive pressure, decon showers, sealed airlocks</w:t>
            </w:r>
          </w:p>
        </w:tc>
        <w:tc>
          <w:tcPr>
            <w:tcW w:type="dxa" w:w="3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All hardened spaces + Bath House decon</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EMP / Solar Storm</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Faraday cage enclosures, shielded conduit, surge suppression, EMP-rated equipment</w:t>
            </w:r>
          </w:p>
        </w:tc>
        <w:tc>
          <w:tcPr>
            <w:tcW w:type="dxa" w:w="3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(full), SUA, all critical electronics</w:t>
            </w:r>
          </w:p>
        </w:tc>
      </w:tr>
      <w:tr>
        <w:tc>
          <w:tcPr>
            <w:tcW w:type="dxa" w:w="2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Blast / Shockwave</w:t>
            </w:r>
          </w:p>
        </w:tc>
        <w:tc>
          <w:tcPr>
            <w:tcW w:type="dxa" w:w="41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Reinforced concrete, blast-rated doors, pressure valves on NBC systems</w:t>
            </w:r>
          </w:p>
        </w:tc>
        <w:tc>
          <w:tcPr>
            <w:tcW w:type="dxa" w:w="3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Bunker, Signal Lounge, Tunnel portals</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Seismic</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Seismic engineering per IBC; base isolation where applicable; flexible conduit joints</w:t>
            </w:r>
          </w:p>
        </w:tc>
        <w:tc>
          <w:tcPr>
            <w:tcW w:type="dxa" w:w="3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All structures and tunnels</w:t>
            </w:r>
          </w:p>
        </w:tc>
      </w:tr>
      <w:tr>
        <w:tc>
          <w:tcPr>
            <w:tcW w:type="dxa" w:w="2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Wildfire</w:t>
            </w:r>
          </w:p>
        </w:tc>
        <w:tc>
          <w:tcPr>
            <w:tcW w:type="dxa" w:w="41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Metal roofing, Rockwool insulation, fire-resistant exteriors, perimeter sprinklers, defensible space</w:t>
            </w:r>
          </w:p>
        </w:tc>
        <w:tc>
          <w:tcPr>
            <w:tcW w:type="dxa" w:w="3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All above-grade structures</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Flooding</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All structures above 100-year floodplain; sump systems in tunnels and basements</w:t>
            </w:r>
          </w:p>
        </w:tc>
        <w:tc>
          <w:tcPr>
            <w:tcW w:type="dxa" w:w="3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All below-grade spaces</w:t>
            </w:r>
          </w:p>
        </w:tc>
      </w:tr>
      <w:tr>
        <w:tc>
          <w:tcPr>
            <w:tcW w:type="dxa" w:w="2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Power failure</w:t>
            </w:r>
          </w:p>
        </w:tc>
        <w:tc>
          <w:tcPr>
            <w:tcW w:type="dxa" w:w="41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Multi-layer power redundancy: Solar → Battery → Wind → Generator → UPS</w:t>
            </w:r>
          </w:p>
        </w:tc>
        <w:tc>
          <w:tcPr>
            <w:tcW w:type="dxa" w:w="31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Entire compound</w:t>
            </w:r>
          </w:p>
        </w:tc>
      </w:tr>
    </w:tbl>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NBC Filtration Specification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Two independent NBC systems: Fortress Bunker (primary) and Signal Lounge (secondary)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Bath House decontamination showers serve as pre-entry decon before accessing clean zones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Filtration stages: HEPA particulate + activated carbon chemical + UV germicidal</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Overpressure system: Positive air pressure maintained in hardened spaces during sealed operation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Blast valves: Installed on all air intake/exhaust penetrations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Manual override: All NBC systems operable without electronics (EMP scenario)</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EMP / Faraday Requirements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Faraday cage: Server room and data vault inside Fortress — continuous welded copper mesh, bonded to ufer ground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Station dome: Copper mesh Faraday layer integrated into geodesic dome structure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Shielded conduit: All electrical runs throughout compound in rigid metallic conduit (RMC) or intermediate metallic conduit (IMC), bonded throughout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Surge suppression: Type 1 SPD at main service disconnect; Type 2 at each sub-panel; Type 3 at sensitive loads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EMP-rated workstations: Spare electronics and critical equipment in Faraday storage bags / enclosures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Studio and comms areas: EMF shielding panels in walls adjacent to sensitive equipment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Manual operation: All critical systems (power, water, shelter) must be operable without electronics</w:t>
      </w:r>
    </w:p>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05 — Infrastructure Systems</w:t>
      </w:r>
    </w:p>
    <w:p>
      <w:pPr>
        <w:spacing w:before="320" w:after="120"/>
      </w:pPr>
      <w:r>
        <w:rPr>
          <w:rFonts w:ascii="Arial" w:cs="Arial" w:eastAsia="Arial" w:hAnsi="Arial"/>
          <w:b/>
          <w:bCs/>
          <w:i w:val="false"/>
          <w:iCs w:val="false"/>
          <w:color w:val="4A7C59"/>
          <w:sz w:val="26"/>
          <w:szCs w:val="26"/>
        </w:rPr>
        <w:t xml:space="preserve">Power System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Primary: Solar array — roof + ground mount; oriented for maximum Smoky Mountain solar capture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Storage (Tier 1): Main battery bank — compound-wide; sized for extended multi-day reserve; LiFePO4 chemistry preferred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Storage (Tier 2): Station secondary — independent battery system for broadcast continuity during generator transitions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Storage (Tier 3): UPS on all critical electronics compound-wide — no gap in power during switching</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Supplement: Wind turbine — fills solar gaps during cloudy conditions; monitored from Brain Room dashboard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Backup: Multi-fuel generator with ATS — auto-starts on battery depletion; no human intervention required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Distribution: Buried armored conduit from SUA to all structures; shielded metallic conduit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Grid: Zero dependency — no utility grid connection</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Water System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Primary supply: Deep drilled well — depth per geotech survey; submersible pump with manual backup</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Rainwater: Catchment system with underground cistern — minimum 10,000-gallon capacity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Filtration: Multi-stage — sediment pre-filter, UV sterilization, NBC filtration in sealed mode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Fire suppression: Perimeter sprinklers for wildfire defense; outdoor hydrants for structure firefighting</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Greywater: Recycled for irrigation and non-potable uses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Blackwater: Incinerating toilet in Fortress Bunker — zero water/sewer dependency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Storage: 1,000–2,500 gallons reserve across cistern and Fortress Bunker tanks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Bath House: Dual solar thermal storage tanks (~1,000L each) with wood/biogas backup boiler for hot water</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Communications &amp; Broadcast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560"/>
        <w:gridCol w:w="2000"/>
      </w:tblGrid>
      <w:tr>
        <w:trPr>
          <w:tblHeader/>
        </w:trPr>
        <w:tc>
          <w:tcPr>
            <w:tcW w:type="dxa" w:w="2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System</w:t>
            </w:r>
          </w:p>
        </w:tc>
        <w:tc>
          <w:tcPr>
            <w:tcW w:type="dxa" w:w="45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Purpose</w:t>
            </w:r>
          </w:p>
        </w:tc>
        <w:tc>
          <w:tcPr>
            <w:tcW w:type="dxa" w:w="20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Priority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LPFM Community Radio</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Regional broadcast — primary mission; FCC licensed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Podcast / Recording Studio</w:t>
            </w:r>
          </w:p>
        </w:tc>
        <w:tc>
          <w:tcPr>
            <w:tcW w:type="dxa" w:w="4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Produced audio content; archive; training</w:t>
            </w:r>
          </w:p>
        </w:tc>
        <w:tc>
          <w:tcPr>
            <w:tcW w:type="dxa" w:w="20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High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HF HAM (HF bands)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Regional and global comms; ARES/RACES capable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VHF/UHF HAM</w:t>
            </w:r>
          </w:p>
        </w:tc>
        <w:tc>
          <w:tcPr>
            <w:tcW w:type="dxa" w:w="4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Local and repeater communications</w:t>
            </w:r>
          </w:p>
        </w:tc>
        <w:tc>
          <w:tcPr>
            <w:tcW w:type="dxa" w:w="20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High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GMRS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Compound perimeter and team communications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High</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Meshtastic Mesh</w:t>
            </w:r>
          </w:p>
        </w:tc>
        <w:tc>
          <w:tcPr>
            <w:tcW w:type="dxa" w:w="4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Encrypted compound-wide text/data; no internet required</w:t>
            </w:r>
          </w:p>
        </w:tc>
        <w:tc>
          <w:tcPr>
            <w:tcW w:type="dxa" w:w="20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High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Starlink Satellite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Primary internet when available; backup comms path</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Medium</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Amateur Satellite</w:t>
            </w:r>
          </w:p>
        </w:tc>
        <w:tc>
          <w:tcPr>
            <w:tcW w:type="dxa" w:w="4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Tracking and communication capability</w:t>
            </w:r>
          </w:p>
        </w:tc>
        <w:tc>
          <w:tcPr>
            <w:tcW w:type="dxa" w:w="20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Low</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Antenna Mast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tower-top; all antenna feeds routed to comms room; backup broadcast link to Station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SDR Spectrum Monitor</w:t>
            </w:r>
          </w:p>
        </w:tc>
        <w:tc>
          <w:tcPr>
            <w:tcW w:type="dxa" w:w="4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Real-time RF spectrum monitoring from Comms Control Desk</w:t>
            </w:r>
          </w:p>
        </w:tc>
        <w:tc>
          <w:tcPr>
            <w:tcW w:type="dxa" w:w="20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Medium</w:t>
            </w:r>
          </w:p>
        </w:tc>
      </w:tr>
    </w:tbl>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Network &amp; Data</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Fiber optic backbone: Single-mode fiber connecting all five structures via buried conduit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Tunnels: Dedicated cable trays carry fiber and power full length of each tunnel</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LAN: Encrypted compound-wide local area network — no internet dependency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Servers: Private cloud servers in EMP-hardened Faraday server room inside Fortress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Station RF/Server Room: Dedicated room — STC 55; independent cooling; firewall and router; isolated from studio floor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VPN: Secure gateway for remote access when Starlink is online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Offline capability: All compound systems operable with zero internet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Mesh overlay: Meshtastic encrypted mesh as independent backup network layer</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Self-Sufficiency — 90-Day Baseline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360"/>
        <w:gridCol w:w="2800"/>
      </w:tblGrid>
      <w:tr>
        <w:trPr>
          <w:tblHeader/>
        </w:trPr>
        <w:tc>
          <w:tcPr>
            <w:tcW w:type="dxa" w:w="22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Category</w:t>
            </w:r>
          </w:p>
        </w:tc>
        <w:tc>
          <w:tcPr>
            <w:tcW w:type="dxa" w:w="43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Requirement</w:t>
            </w:r>
          </w:p>
        </w:tc>
        <w:tc>
          <w:tcPr>
            <w:tcW w:type="dxa" w:w="2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Location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Food provisions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90+ days for 6 Bunker occupants; hydroponic garden for continuous fresh greens; FIFO rotating stock</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Bunker vault + hydroponic common room</w:t>
            </w:r>
          </w:p>
        </w:tc>
      </w:tr>
      <w:tr>
        <w:tc>
          <w:tcPr>
            <w:tcW w:type="dxa" w:w="2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Water reserve</w:t>
            </w:r>
          </w:p>
        </w:tc>
        <w:tc>
          <w:tcPr>
            <w:tcW w:type="dxa" w:w="4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1,000–2,500 gal internal; well + cistern for extended ops</w:t>
            </w:r>
          </w:p>
        </w:tc>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Bunker tank + underground cistern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Medical</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EMT-level medical bay; 90-day medication supply; trauma kit; remote guidance via HAM or satellite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Bunker</w:t>
            </w:r>
          </w:p>
        </w:tc>
      </w:tr>
      <w:tr>
        <w:tc>
          <w:tcPr>
            <w:tcW w:type="dxa" w:w="2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Fuel</w:t>
            </w:r>
          </w:p>
        </w:tc>
        <w:tc>
          <w:tcPr>
            <w:tcW w:type="dxa" w:w="4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90-day generator fuel supply in fireproof vault; underground tank option</w:t>
            </w:r>
          </w:p>
        </w:tc>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SUA / exterior secured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Spare electronics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Critical spare components in Faraday storage bags; on-site repair capability in SUA workshop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vault + SUA workshop</w:t>
            </w:r>
          </w:p>
        </w:tc>
      </w:tr>
      <w:tr>
        <w:tc>
          <w:tcPr>
            <w:tcW w:type="dxa" w:w="2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Seed / grow capability</w:t>
            </w:r>
          </w:p>
        </w:tc>
        <w:tc>
          <w:tcPr>
            <w:tcW w:type="dxa" w:w="4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Hydroponic garden in Bunker Common Room for continuous fresh production; seed bank in Bath House basement</w:t>
            </w:r>
          </w:p>
        </w:tc>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Bunker + Bath House B1</w:t>
            </w:r>
          </w:p>
        </w:tc>
      </w:tr>
    </w:tbl>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06 — Construction Standards</w:t>
      </w:r>
    </w:p>
    <w:p>
      <w:pPr>
        <w:spacing w:before="320" w:after="120"/>
      </w:pPr>
      <w:r>
        <w:rPr>
          <w:rFonts w:ascii="Arial" w:cs="Arial" w:eastAsia="Arial" w:hAnsi="Arial"/>
          <w:b/>
          <w:bCs/>
          <w:i w:val="false"/>
          <w:iCs w:val="false"/>
          <w:color w:val="4A7C59"/>
          <w:sz w:val="26"/>
          <w:szCs w:val="26"/>
        </w:rPr>
        <w:t xml:space="preserve">Acoustic Standards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780"/>
        <w:gridCol w:w="2780"/>
      </w:tblGrid>
      <w:tr>
        <w:trPr>
          <w:tblHeader/>
        </w:trPr>
        <w:tc>
          <w:tcPr>
            <w:tcW w:type="dxa" w:w="3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Space</w:t>
            </w:r>
          </w:p>
        </w:tc>
        <w:tc>
          <w:tcPr>
            <w:tcW w:type="dxa" w:w="278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STC Target</w:t>
            </w:r>
          </w:p>
        </w:tc>
        <w:tc>
          <w:tcPr>
            <w:tcW w:type="dxa" w:w="278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NC Target</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LPFM Broadcast Studio</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60+</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NC-25</w:t>
            </w:r>
          </w:p>
        </w:tc>
      </w:tr>
      <w:tr>
        <w:tc>
          <w:tcPr>
            <w:tcW w:type="dxa" w:w="3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Recording Booth / Live Room</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60+</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NC-20</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RF / Server Room (Station)</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55</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N/A</w:t>
            </w:r>
          </w:p>
        </w:tc>
      </w:tr>
      <w:tr>
        <w:tc>
          <w:tcPr>
            <w:tcW w:type="dxa" w:w="3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Bunker Sleeping Quarters</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60+</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NC-30</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Signal Lounge Shelter</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55+</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NC-30</w:t>
            </w:r>
          </w:p>
        </w:tc>
      </w:tr>
      <w:tr>
        <w:tc>
          <w:tcPr>
            <w:tcW w:type="dxa" w:w="3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The Penthouse</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55+</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NC-35</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Living / Common Spaces</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50+</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NC-35</w:t>
            </w:r>
          </w:p>
        </w:tc>
      </w:tr>
      <w:tr>
        <w:tc>
          <w:tcPr>
            <w:tcW w:type="dxa" w:w="3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Sauna / Steam Bath / Guest Suite</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60+</w:t>
            </w:r>
          </w:p>
        </w:tc>
        <w:tc>
          <w:tcPr>
            <w:tcW w:type="dxa" w:w="278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NC-35</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Mechanical Rooms</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STC 55+</w:t>
            </w:r>
          </w:p>
        </w:tc>
        <w:tc>
          <w:tcPr>
            <w:tcW w:type="dxa" w:w="2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N/A</w:t>
            </w:r>
          </w:p>
        </w:tc>
      </w:tr>
    </w:tbl>
    <w:p>
      <w:pPr>
        <w:spacing w:before="0" w:after="80"/>
      </w:pPr>
      <w:r>
        <w:rPr>
          <w:rFonts w:ascii="Arial" w:cs="Arial" w:eastAsia="Arial" w:hAnsi="Arial"/>
          <w:b w:val="false"/>
          <w:bCs w:val="false"/>
          <w:i w:val="false"/>
          <w:iCs w:val="false"/>
          <w:color w:val="333333"/>
          <w:sz w:val="22"/>
          <w:szCs w:val="22"/>
        </w:rPr>
        <w:t xml:space="preserve"/>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Wall construction: Double-stud with Rockwool mineral wool insulation throughout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Resilient channels: On all studio wall and ceiling assemblies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Acoustic doors: STC-rated, gasketed doors on all studio and bunker entries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Floating floors: All studio areas and recording spaces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HVAC: NC-25 maximum in studios — dedicated low-velocity HVAC with lined ductwork</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Dome treatment: Suspended acoustic clouds, radial diffuser panels, perimeter bass traps, movable gobos</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Fire Resistance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Roofing: Metal roofing on all structures — Class A fire rating</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Insulation: Rockwool mineral wool throughout — non-combustible, fire-resistant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Exterior walls (Fortress): Aircrete construction — non-combustible, excellent thermal and acoustic performance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Exterior cladding: Fire-resistant materials; no exposed unprotected wood on exteriors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Vents: Ember-resistant vent covers on all intake/exhaust penetrations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Defensible space: Minimum 100-ft cleared zone around all structures per NFPA 1144</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Suppression: Perimeter sprinkler system for wildfire ember defense; outdoor hydrants</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Environmental &amp; Climate</w:t>
      </w:r>
    </w:p>
    <w:p>
      <w:pPr>
        <w:spacing w:before="60" w:after="80"/>
      </w:pPr>
      <w:r>
        <w:rPr>
          <w:rFonts w:ascii="Arial" w:cs="Arial" w:eastAsia="Arial" w:hAnsi="Arial"/>
          <w:b w:val="false"/>
          <w:bCs w:val="false"/>
          <w:i w:val="false"/>
          <w:iCs w:val="false"/>
          <w:color w:val="333333"/>
          <w:sz w:val="22"/>
          <w:szCs w:val="22"/>
        </w:rPr>
        <w:t xml:space="preserve">The Great Smoky Mountains environment is characterized by high humidity, significant rainfall, freeze-thaw cycles, and heavy snow load potential. All design must account for: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Humidity control: Smart humidistats on all floors; dehumidifiers sized for Smoky Mountain climate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Ventilation: ERV/HRV systems on all occupied spaces for fresh air without humidity penalty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Moisture: Comprehensive waterproofing on all below-grade surfaces; drainage planes on all walls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Snow load: Structural design for regional snow load requirements per IBC</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Thermal envelope: High-performance insulation throughout; airtight construction</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EMP &amp; EMF Construction Details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Faraday core (Fortress): Server room and data vault — continuously welded copper mesh behind drywall, bonded to ufer ground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Station Faraday: Copper mesh Faraday layer integrated into geodesic dome structure during fabrication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Studio EMF shielding: Woven wire mesh panels in all four walls and ceiling of broadcast studio and comms room</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Conduit: All electrical in rigid metallic conduit (RMC) or intermediate metallic conduit (IMC); bonded throughout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Surge protection: Type 1 SPD at main service disconnect; Type 2 at each sub-panel; Type 3 at sensitive loads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Penetrations: All conduit entries into Faraday spaces via waveguide-below-cutoff penetrations</w:t>
      </w:r>
    </w:p>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07 — Budget Framework</w:t>
      </w:r>
    </w:p>
    <w:p>
      <w:pPr>
        <w:spacing w:before="320" w:after="120"/>
      </w:pPr>
      <w:r>
        <w:rPr>
          <w:rFonts w:ascii="Arial" w:cs="Arial" w:eastAsia="Arial" w:hAnsi="Arial"/>
          <w:b/>
          <w:bCs/>
          <w:i w:val="false"/>
          <w:iCs w:val="false"/>
          <w:color w:val="4A7C59"/>
          <w:sz w:val="26"/>
          <w:szCs w:val="26"/>
        </w:rPr>
        <w:t xml:space="preserve">Preliminary Cost Estimates</w:t>
      </w:r>
    </w:p>
    <w:p>
      <w:pPr>
        <w:spacing w:before="60" w:after="80"/>
      </w:pPr>
      <w:r>
        <w:rPr>
          <w:rFonts w:ascii="Arial" w:cs="Arial" w:eastAsia="Arial" w:hAnsi="Arial"/>
          <w:b w:val="false"/>
          <w:bCs w:val="false"/>
          <w:i w:val="false"/>
          <w:iCs w:val="false"/>
          <w:color w:val="333333"/>
          <w:sz w:val="22"/>
          <w:szCs w:val="22"/>
        </w:rPr>
        <w:t xml:space="preserve">The following estimates are provided for planning and phasing purposes. Final costs will depend on geotech findings, site-specific conditions, contractor selection, and material specifications. Rocky mountain terrain and remote site access are significant cost multipliers.</w:t>
      </w:r>
    </w:p>
    <w:p>
      <w:pPr>
        <w:spacing w:before="0" w:after="80"/>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800"/>
        <w:gridCol w:w="1800"/>
        <w:gridCol w:w="2400"/>
      </w:tblGrid>
      <w:tr>
        <w:trPr>
          <w:tblHeader/>
        </w:trPr>
        <w:tc>
          <w:tcPr>
            <w:tcW w:type="dxa" w:w="33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Component</w:t>
            </w:r>
          </w:p>
        </w:tc>
        <w:tc>
          <w:tcPr>
            <w:tcW w:type="dxa" w:w="1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Low Estimate</w:t>
            </w:r>
          </w:p>
        </w:tc>
        <w:tc>
          <w:tcPr>
            <w:tcW w:type="dxa" w:w="18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High Estimate</w:t>
            </w:r>
          </w:p>
        </w:tc>
        <w:tc>
          <w:tcPr>
            <w:tcW w:type="dxa" w:w="24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Key Variables</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The Fortress (tower + bunker + Penthouse)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$1,500,000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$2,300,000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Aircrete walls, EMP hardening, NBC spec, Penthouse fit-out, bunker depth</w:t>
            </w:r>
          </w:p>
        </w:tc>
      </w:tr>
      <w:tr>
        <w:tc>
          <w:tcPr>
            <w:tcW w:type="dxa" w:w="3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The Station (dome + Signal Lounge)</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$700,000</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$1,400,000</w:t>
            </w:r>
          </w:p>
        </w:tc>
        <w:tc>
          <w:tcPr>
            <w:tcW w:type="dxa" w:w="24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Dome fabrication (36–40 ft), Faraday integration, studio acoustic fit-out</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Solar Utility Annex</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$400,000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$850,000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Array size, battery capacity, workshop fit-out</w:t>
            </w:r>
          </w:p>
        </w:tc>
      </w:tr>
      <w:tr>
        <w:tc>
          <w:tcPr>
            <w:tcW w:type="dxa" w:w="3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Bath House (3 levels)</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$500,000</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$800,000</w:t>
            </w:r>
          </w:p>
        </w:tc>
        <w:tc>
          <w:tcPr>
            <w:tcW w:type="dxa" w:w="24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Solar thermal system, cantilever porch, decon systems, wellness fit-out</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Ember Nest (caretaker cabin)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$150,000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$300,000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Finish level, off-grid systems</w:t>
            </w:r>
          </w:p>
        </w:tc>
      </w:tr>
      <w:tr>
        <w:tc>
          <w:tcPr>
            <w:tcW w:type="dxa" w:w="3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Tunnel Network (3 tunnels)</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$1,220,000</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$2,630,000</w:t>
            </w:r>
          </w:p>
        </w:tc>
        <w:tc>
          <w:tcPr>
            <w:tcW w:type="dxa" w:w="24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Rock conditions, blast doors, geotech findings</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Site prep + access road + well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$300,000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$600,000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Terrain, depth to water</w:t>
            </w:r>
          </w:p>
        </w:tc>
      </w:tr>
      <w:tr>
        <w:tc>
          <w:tcPr>
            <w:tcW w:type="dxa" w:w="3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Land acquisition (10–15 acres)</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$100,000</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$300,000</w:t>
            </w:r>
          </w:p>
        </w:tc>
        <w:tc>
          <w:tcPr>
            <w:tcW w:type="dxa" w:w="24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Location, parcel specifics</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Comms + broadcast equipment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$120,000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$435,000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Studio tier, antenna system, SDR equipment</w:t>
            </w:r>
          </w:p>
        </w:tc>
      </w:tr>
      <w:tr>
        <w:tc>
          <w:tcPr>
            <w:tcW w:type="dxa" w:w="3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Network + servers + security</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$120,000</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$350,000</w:t>
            </w:r>
          </w:p>
        </w:tc>
        <w:tc>
          <w:tcPr>
            <w:tcW w:type="dxa" w:w="24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Server spec, camera system, RF/server room isolation</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Water systems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$100,000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$330,000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Well depth, cistern size, solar thermal system</w:t>
            </w:r>
          </w:p>
        </w:tc>
      </w:tr>
      <w:tr>
        <w:tc>
          <w:tcPr>
            <w:tcW w:type="dxa" w:w="33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Professional fees + permits (15%)</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$900,000</w:t>
            </w:r>
          </w:p>
        </w:tc>
        <w:tc>
          <w:tcPr>
            <w:tcW w:type="dxa" w:w="1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$1,600,000</w:t>
            </w:r>
          </w:p>
        </w:tc>
        <w:tc>
          <w:tcPr>
            <w:tcW w:type="dxa" w:w="24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Complexity, FCC licensing</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Contingency (20%)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$1,220,000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$2,178,000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Remote terrain, specialty trades</w:t>
            </w:r>
          </w:p>
        </w:tc>
      </w:tr>
    </w:tbl>
    <w:p>
      <w:pPr>
        <w:spacing w:before="0" w:after="80"/>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Scenario</w:t>
            </w:r>
          </w:p>
        </w:tc>
        <w:tc>
          <w:tcPr>
            <w:tcW w:type="dxa" w:w="58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Total Estimate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Conservative (all favorable conditions)</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~$7,300,000</w:t>
            </w:r>
          </w:p>
        </w:tc>
      </w:tr>
      <w:tr>
        <w:tc>
          <w:tcPr>
            <w:tcW w:type="dxa" w:w="35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Realistic midpoint</w:t>
            </w:r>
          </w:p>
        </w:tc>
        <w:tc>
          <w:tcPr>
            <w:tcW w:type="dxa" w:w="58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~$10,500,000</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Full specification / unfavorable terrain</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~$14,100,000+</w:t>
            </w:r>
          </w:p>
        </w:tc>
      </w:tr>
    </w:tbl>
    <w:p>
      <w:pPr>
        <w:spacing w:before="0" w:after="80"/>
      </w:pPr>
      <w:r>
        <w:rPr>
          <w:rFonts w:ascii="Arial" w:cs="Arial" w:eastAsia="Arial" w:hAnsi="Arial"/>
          <w:b w:val="false"/>
          <w:bCs w:val="false"/>
          <w:i w:val="false"/>
          <w:iCs w:val="false"/>
          <w:color w:val="333333"/>
          <w:sz w:val="22"/>
          <w:szCs w:val="22"/>
        </w:rPr>
        <w:t xml:space="preserve"/>
      </w:r>
    </w:p>
    <w:p>
      <w:pPr>
        <w:spacing w:before="60" w:after="80"/>
      </w:pPr>
      <w:r>
        <w:rPr>
          <w:rFonts w:ascii="Arial" w:cs="Arial" w:eastAsia="Arial" w:hAnsi="Arial"/>
          <w:b/>
          <w:bCs/>
          <w:i w:val="false"/>
          <w:iCs w:val="false"/>
          <w:color w:val="333333"/>
          <w:sz w:val="22"/>
          <w:szCs w:val="22"/>
        </w:rPr>
        <w:t xml:space="preserve">Recommended planning budget: $15–20M to account for rocky terrain, specialty hardening contractors, and phased contingency.</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Recommended Build Phasing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560"/>
        <w:gridCol w:w="4600"/>
      </w:tblGrid>
      <w:tr>
        <w:trPr>
          <w:tblHeader/>
        </w:trPr>
        <w:tc>
          <w:tcPr>
            <w:tcW w:type="dxa" w:w="12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Phase</w:t>
            </w:r>
          </w:p>
        </w:tc>
        <w:tc>
          <w:tcPr>
            <w:tcW w:type="dxa" w:w="356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Scope</w:t>
            </w:r>
          </w:p>
        </w:tc>
        <w:tc>
          <w:tcPr>
            <w:tcW w:type="dxa" w:w="4600"/>
            <w:tcBorders>
              <w:top w:val="single" w:color="2C4A2E" w:sz="1"/>
              <w:left w:val="single" w:color="2C4A2E" w:sz="1"/>
              <w:bottom w:val="single" w:color="2C4A2E" w:sz="1"/>
              <w:right w:val="single" w:color="2C4A2E" w:sz="1"/>
            </w:tcBorders>
            <w:shd w:fill="2C4A2E" w:val="clear"/>
            <w:tcMar>
              <w:top w:type="dxa" w:w="80"/>
              <w:left w:type="dxa" w:w="120"/>
              <w:bottom w:type="dxa" w:w="80"/>
              <w:right w:type="dxa" w:w="120"/>
            </w:tcMar>
          </w:tcPr>
          <w:p>
            <w:r>
              <w:rPr>
                <w:rFonts w:ascii="Arial" w:cs="Arial" w:eastAsia="Arial" w:hAnsi="Arial"/>
                <w:b/>
                <w:bCs/>
                <w:i w:val="false"/>
                <w:iCs w:val="false"/>
                <w:color w:val="FFFFFF"/>
                <w:sz w:val="20"/>
                <w:szCs w:val="20"/>
              </w:rPr>
              <w:t xml:space="preserve">Rationale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Phase 1</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Land + geotech + permits + well</w:t>
            </w:r>
          </w:p>
        </w:tc>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Must precede all construction; FCC LPFM application concurrent; tunnel alignment determined by geotech</w:t>
            </w:r>
          </w:p>
        </w:tc>
      </w:tr>
      <w:tr>
        <w:tc>
          <w:tcPr>
            <w:tcW w:type="dxa" w:w="1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Phase 2</w:t>
            </w:r>
          </w:p>
        </w:tc>
        <w:tc>
          <w:tcPr>
            <w:tcW w:type="dxa" w:w="3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Fortress + Solar Utility Annex</w:t>
            </w:r>
          </w:p>
        </w:tc>
        <w:tc>
          <w:tcPr>
            <w:tcW w:type="dxa" w:w="46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Hub structure first; enables on-site power for rest of build</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Phase 3</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Tunnel network</w:t>
            </w:r>
          </w:p>
        </w:tc>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Excavate before destination structures are built; heavy equipment access</w:t>
            </w:r>
          </w:p>
        </w:tc>
      </w:tr>
      <w:tr>
        <w:tc>
          <w:tcPr>
            <w:tcW w:type="dxa" w:w="12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Phase 4</w:t>
            </w:r>
          </w:p>
        </w:tc>
        <w:tc>
          <w:tcPr>
            <w:tcW w:type="dxa" w:w="356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The Station + Signal Lounge</w:t>
            </w:r>
          </w:p>
        </w:tc>
        <w:tc>
          <w:tcPr>
            <w:tcW w:type="dxa" w:w="46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Broadcast operational; LPFM license should be ready</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Phase 5</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Bath House + Ember Nest</w:t>
            </w:r>
          </w:p>
        </w:tc>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0"/>
                <w:szCs w:val="20"/>
              </w:rPr>
              <w:t xml:space="preserve">Most conventional construction; caretaker cabin enables on-site oversight</w:t>
            </w:r>
          </w:p>
        </w:tc>
      </w:tr>
    </w:tbl>
    <w:p>
      <w:pPr>
        <w:spacing w:before="0" w:after="0"/>
      </w:pPr>
      <w:r>
        <w:br w:type="page"/>
      </w:r>
    </w:p>
    <w:p>
      <w:pPr>
        <w:pBdr>
          <w:bottom w:val="single" w:color="2C4A2E" w:sz="8" w:space="4"/>
        </w:pBdr>
        <w:spacing w:before="480" w:after="160"/>
      </w:pPr>
      <w:r>
        <w:rPr>
          <w:rFonts w:ascii="Arial" w:cs="Arial" w:eastAsia="Arial" w:hAnsi="Arial"/>
          <w:b/>
          <w:bCs/>
          <w:i w:val="false"/>
          <w:iCs w:val="false"/>
          <w:color w:val="2C4A2E"/>
          <w:sz w:val="32"/>
          <w:szCs w:val="32"/>
        </w:rPr>
        <w:t xml:space="preserve">08 — Architect &amp; Contractor Guidance</w:t>
      </w:r>
    </w:p>
    <w:p>
      <w:pPr>
        <w:spacing w:before="320" w:after="120"/>
      </w:pPr>
      <w:r>
        <w:rPr>
          <w:rFonts w:ascii="Arial" w:cs="Arial" w:eastAsia="Arial" w:hAnsi="Arial"/>
          <w:b/>
          <w:bCs/>
          <w:i w:val="false"/>
          <w:iCs w:val="false"/>
          <w:color w:val="4A7C59"/>
          <w:sz w:val="26"/>
          <w:szCs w:val="26"/>
        </w:rPr>
        <w:t xml:space="preserve">Specialist Trades Required</w:t>
      </w:r>
    </w:p>
    <w:p>
      <w:pPr>
        <w:spacing w:before="60" w:after="80"/>
      </w:pPr>
      <w:r>
        <w:rPr>
          <w:rFonts w:ascii="Arial" w:cs="Arial" w:eastAsia="Arial" w:hAnsi="Arial"/>
          <w:b w:val="false"/>
          <w:bCs w:val="false"/>
          <w:i w:val="false"/>
          <w:iCs w:val="false"/>
          <w:color w:val="333333"/>
          <w:sz w:val="22"/>
          <w:szCs w:val="22"/>
        </w:rPr>
        <w:t xml:space="preserve">This project requires a combination of specialist contractors working alongside a general contractor experienced with remote, custom construction. The following specialist trades must be engaged: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Hardened bunker / underground shelter contractor — NBC, EMP, blast-rated construction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Geodesic dome fabricator and erection specialist — with Faraday copper mesh integration capability</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Acoustic construction specialist — STC 60+ assemblies, floating floors, resilient systems, dome treatment</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RF / broadcast engineer — antenna system design, LPFM studio layout, FCC compliance, SDR integration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Solar + battery storage engineer — off-grid system sizing and integration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Faraday / EMP hardening specialist — server room, dome Faraday layer, conduit bonding, surge suppression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Tunnel and underground civil contractor — reinforced concrete, blast doors, waterproofing</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Seismic structural engineer — all structures and tunnel connections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Aircrete construction specialist — Fortress outer wall construction</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Critical Design Constraints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All systems must be operable manually without electronics (EMP scenario)</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No single point of failure on power, water, or communications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Tunnel alignment is determined by geotech survey results — do not finalize until survey complete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LPFM license requires FCC coordination — broadcast studio layout must meet FCC technical standards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NBC systems require independent operation in Fortress and Station — they must not share filtration</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The compound must function as a normal creative/residential facility without any indication of its hardened nature from the exterior</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Station dome diameter is 36–40 ft — do not scale to the original ~50 ft figure; acoustic and Faraday specifications are calibrated to this size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Fortress Penthouse panoramic glass wall requires UV-filtering laminated panels with optional integrated solar film</w:t>
      </w:r>
    </w:p>
    <w:p>
      <w:pPr>
        <w:spacing w:before="0" w:after="80"/>
      </w:pPr>
      <w:r>
        <w:rPr>
          <w:rFonts w:ascii="Arial" w:cs="Arial" w:eastAsia="Arial" w:hAnsi="Arial"/>
          <w:b w:val="false"/>
          <w:bCs w:val="false"/>
          <w:i w:val="false"/>
          <w:iCs w:val="false"/>
          <w:color w:val="333333"/>
          <w:sz w:val="22"/>
          <w:szCs w:val="22"/>
        </w:rPr>
        <w:t xml:space="preserve"/>
      </w:r>
    </w:p>
    <w:p>
      <w:pPr>
        <w:spacing w:before="320" w:after="120"/>
      </w:pPr>
      <w:r>
        <w:rPr>
          <w:rFonts w:ascii="Arial" w:cs="Arial" w:eastAsia="Arial" w:hAnsi="Arial"/>
          <w:b/>
          <w:bCs/>
          <w:i w:val="false"/>
          <w:iCs w:val="false"/>
          <w:color w:val="4A7C59"/>
          <w:sz w:val="26"/>
          <w:szCs w:val="26"/>
        </w:rPr>
        <w:t xml:space="preserve">Design Principles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Resilience — every critical system has redundancy; no single point of failure</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Creativity — the compound is first and foremost a place of creative work and community; hardening serves the mission, not the other way around</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Community — designed to serve the broader Smoky Mountain region, not just occupants; LPFM broadcast is the outward expression of this</w:t>
      </w:r>
    </w:p>
    <w:p>
      <w:pPr>
        <w:pStyle w:val="ListParagraph"/>
        <w:numPr>
          <w:ilvl w:val="0"/>
          <w:numId w:val="2"/>
        </w:numPr>
        <w:spacing w:before="40" w:after="40"/>
      </w:pPr>
      <w:r>
        <w:rPr>
          <w:rFonts w:ascii="Arial" w:cs="Arial" w:eastAsia="Arial" w:hAnsi="Arial"/>
          <w:b w:val="false"/>
          <w:bCs w:val="false"/>
          <w:i w:val="false"/>
          <w:iCs w:val="false"/>
          <w:color w:val="333333"/>
          <w:sz w:val="22"/>
          <w:szCs w:val="22"/>
        </w:rPr>
        <w:t xml:space="preserve">Endurance — built to last 50+ years with minimal maintenance; materials and systems selected for longevity over novelty</w:t>
      </w:r>
    </w:p>
    <w:p>
      <w:pPr>
        <w:spacing w:before="0" w:after="80"/>
      </w:pPr>
      <w:r>
        <w:rPr>
          <w:rFonts w:ascii="Arial" w:cs="Arial" w:eastAsia="Arial" w:hAnsi="Arial"/>
          <w:b w:val="false"/>
          <w:bCs w:val="false"/>
          <w:i w:val="false"/>
          <w:iCs w:val="false"/>
          <w:color w:val="333333"/>
          <w:sz w:val="22"/>
          <w:szCs w:val="22"/>
        </w:rPr>
        <w:t xml:space="preserve"/>
      </w:r>
    </w:p>
    <w:p>
      <w:pPr>
        <w:spacing w:before="480" w:after="80"/>
        <w:jc w:val="center"/>
      </w:pPr>
      <w:r>
        <w:rPr>
          <w:rFonts w:ascii="Arial" w:cs="Arial" w:eastAsia="Arial" w:hAnsi="Arial"/>
          <w:b w:val="false"/>
          <w:bCs w:val="false"/>
          <w:i/>
          <w:iCs/>
          <w:color w:val="999999"/>
          <w:sz w:val="20"/>
          <w:szCs w:val="20"/>
        </w:rPr>
        <w:t xml:space="preserve">WICH Studio Compound — Architect Design Brief — Version 2.0 — Confidential</w:t>
      </w:r>
    </w:p>
    <w:p>
      <w:pPr>
        <w:spacing w:before="0" w:after="0"/>
        <w:jc w:val="center"/>
      </w:pPr>
      <w:r>
        <w:rPr>
          <w:rFonts w:ascii="Arial" w:cs="Arial" w:eastAsia="Arial" w:hAnsi="Arial"/>
          <w:b w:val="false"/>
          <w:bCs w:val="false"/>
          <w:i/>
          <w:iCs/>
          <w:color w:val="999999"/>
          <w:sz w:val="20"/>
          <w:szCs w:val="20"/>
        </w:rPr>
        <w:t xml:space="preserve">compound.metamaitreya.com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2026-03-08T05:10:28.559Z</dcterms:created>
  <dcterms:modified xsi:type="dcterms:W3CDTF">2026-03-08T05:10:28.560Z</dcterms:modified>
</cp:coreProperties>
</file>

<file path=docProps/custom.xml><?xml version="1.0" encoding="utf-8"?>
<Properties xmlns="http://schemas.openxmlformats.org/officeDocument/2006/custom-properties" xmlns:vt="http://schemas.openxmlformats.org/officeDocument/2006/docPropsVTypes"/>
</file>